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F9F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济钢集团山东建设工程有限公司办公场地（工北21B3号办公楼B3-2-307、308）公开竞租公告</w:t>
      </w:r>
    </w:p>
    <w:p w14:paraId="536FB0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5F8F23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济钢集团山东建设工程有限公司</w:t>
      </w:r>
      <w:r>
        <w:rPr>
          <w:rFonts w:hint="eastAsia" w:ascii="仿宋_GB2312" w:eastAsia="仿宋_GB2312"/>
          <w:sz w:val="32"/>
          <w:szCs w:val="32"/>
        </w:rPr>
        <w:t>对所属房屋构筑物</w:t>
      </w:r>
      <w:r>
        <w:rPr>
          <w:rFonts w:hint="eastAsia" w:ascii="仿宋_GB2312" w:hAnsi="仿宋" w:eastAsia="仿宋_GB2312"/>
          <w:sz w:val="32"/>
          <w:szCs w:val="32"/>
        </w:rPr>
        <w:t>进行网上公开竞租，现将有关事项公告如下：</w:t>
      </w:r>
    </w:p>
    <w:p w14:paraId="1DB29F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一、招租构筑物基本情况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227"/>
        <w:gridCol w:w="1288"/>
        <w:gridCol w:w="1073"/>
        <w:gridCol w:w="757"/>
        <w:gridCol w:w="992"/>
        <w:gridCol w:w="1050"/>
        <w:gridCol w:w="975"/>
      </w:tblGrid>
      <w:tr w14:paraId="772FE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A9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所属</w:t>
            </w:r>
          </w:p>
          <w:p w14:paraId="47372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公司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2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具体位置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CC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房屋建筑物名称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B2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面积（㎡）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97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租赁期限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8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年租赁费底价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元/年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4B83A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A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阶梯价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1C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竟租保证金</w:t>
            </w:r>
          </w:p>
        </w:tc>
      </w:tr>
      <w:tr w14:paraId="22293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exac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C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CN" w:bidi="ar-SA"/>
              </w:rPr>
              <w:t>济钢集团山东建设工程有限公司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6B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济南市工业北路21号（山东建设工程有限公司园区）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8B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工北21B3号办公楼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B3-2-307、308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7C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86.36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2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AC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37825.68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4A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竞租阶梯为人民币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04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00元</w:t>
            </w:r>
          </w:p>
        </w:tc>
      </w:tr>
    </w:tbl>
    <w:p w14:paraId="7F045A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二、租赁期限</w:t>
      </w:r>
    </w:p>
    <w:p w14:paraId="2DBD7E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竞租人的最终摘牌价为第一年租赁费（含税，税率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%），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拟租赁期限3年，租金从第三年开始逐年递增3%，按全年收取。</w:t>
      </w:r>
    </w:p>
    <w:p w14:paraId="47074B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三、出租用途</w:t>
      </w:r>
    </w:p>
    <w:p w14:paraId="037CA3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出租房屋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</w:t>
      </w:r>
      <w:r>
        <w:rPr>
          <w:rFonts w:hint="eastAsia" w:ascii="仿宋_GB2312" w:eastAsia="仿宋_GB2312"/>
          <w:sz w:val="32"/>
          <w:szCs w:val="32"/>
        </w:rPr>
        <w:t>使用（不得从事危化品的经营及违法违规经营行为；不得</w:t>
      </w:r>
      <w:r>
        <w:rPr>
          <w:rFonts w:ascii="仿宋_GB2312" w:eastAsia="仿宋_GB2312"/>
          <w:sz w:val="32"/>
          <w:szCs w:val="32"/>
        </w:rPr>
        <w:t>从事带来</w:t>
      </w:r>
      <w:r>
        <w:rPr>
          <w:rFonts w:hint="eastAsia" w:ascii="仿宋_GB2312" w:eastAsia="仿宋_GB2312"/>
          <w:sz w:val="32"/>
          <w:szCs w:val="32"/>
        </w:rPr>
        <w:t>噪声、气味、粉尘等环境污染的</w:t>
      </w:r>
      <w:r>
        <w:rPr>
          <w:rFonts w:ascii="仿宋_GB2312" w:eastAsia="仿宋_GB2312"/>
          <w:sz w:val="32"/>
          <w:szCs w:val="32"/>
        </w:rPr>
        <w:t>经营行为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4DF4CA18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/>
          <w:sz w:val="32"/>
          <w:szCs w:val="32"/>
        </w:rPr>
        <w:t>承租方承担租赁期限内的水费、电费、消防设施维护维修费用、租赁物及配属设施设备维护维修费用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租赁期内承租方负责租赁房屋日常维修维护、日常安全状态判别及隐患辨识整改工作；负责组织实施非出租方要求而须增加、完善、改造、重置租赁资产及其毗邻区域相关资产的事项并承担相应费用；负责承担因自然老化、不可抗力（指自然灾害）等各种因素可能造成的租赁物状态功能改变、劣化，或为恢复租赁物相应状态功能所造成的承租方直接间接的各类损失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/>
          <w:sz w:val="32"/>
          <w:szCs w:val="32"/>
        </w:rPr>
        <w:t>四、竞租条件</w:t>
      </w:r>
    </w:p>
    <w:p w14:paraId="1E6948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3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1、中华人民共和国境内法人组织和自然人,均可参加竞租。</w:t>
      </w:r>
    </w:p>
    <w:p w14:paraId="10744A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3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2、此次竞租采用增价方式进行公开竞价，按照价高者的原则确定竞得人。</w:t>
      </w:r>
    </w:p>
    <w:p w14:paraId="1F48F11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3、参加本次网上竞租的竞租人，需要在济钢集团有限公司阳光购销平台（直接登录http://bidding.jigang.com.cn—济钢集团有限公司阳光购销平台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使用指南可在网站首页“帮助中心”下载</w:t>
      </w:r>
      <w:r>
        <w:rPr>
          <w:rFonts w:hint="eastAsia" w:ascii="仿宋_GB2312" w:hAnsi="仿宋" w:eastAsia="仿宋_GB2312"/>
          <w:sz w:val="32"/>
          <w:szCs w:val="32"/>
        </w:rPr>
        <w:t>）进行注册竞租，并缴纳竞租保证金，竞租保证金由竞租申请人</w:t>
      </w:r>
      <w:r>
        <w:rPr>
          <w:rFonts w:hint="eastAsia" w:ascii="仿宋_GB2312" w:hAnsi="仿宋" w:eastAsia="仿宋_GB2312" w:cs="Times New Roman"/>
          <w:sz w:val="32"/>
          <w:szCs w:val="32"/>
        </w:rPr>
        <w:t>交纳至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济钢集团山东建设工程有限公司</w:t>
      </w:r>
      <w:r>
        <w:rPr>
          <w:rFonts w:hint="eastAsia" w:ascii="仿宋_GB2312" w:hAnsi="仿宋" w:eastAsia="仿宋_GB2312" w:cs="Times New Roman"/>
          <w:sz w:val="32"/>
          <w:szCs w:val="32"/>
        </w:rPr>
        <w:t>（开户行：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中国工商银行济南东郊支行</w:t>
      </w:r>
      <w:r>
        <w:rPr>
          <w:rFonts w:hint="eastAsia" w:ascii="仿宋_GB2312" w:hAnsi="仿宋" w:eastAsia="仿宋_GB2312" w:cs="Times New Roman"/>
          <w:sz w:val="32"/>
          <w:szCs w:val="32"/>
        </w:rPr>
        <w:t>；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账号：1602003409022100674</w:t>
      </w:r>
      <w:r>
        <w:rPr>
          <w:rFonts w:hint="eastAsia" w:ascii="仿宋_GB2312" w:hAnsi="仿宋" w:eastAsia="仿宋_GB2312" w:cs="Times New Roman"/>
          <w:sz w:val="32"/>
          <w:szCs w:val="32"/>
        </w:rPr>
        <w:t>；备注须注明竞租保证金）。足额交纳保证金后具备竞租资格。</w:t>
      </w:r>
    </w:p>
    <w:p w14:paraId="76E1C5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网上公告和报名时间：202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日,报名交费时间截止至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:00。</w:t>
      </w:r>
    </w:p>
    <w:p w14:paraId="47AC99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网上竞价时间：202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0。</w:t>
      </w:r>
    </w:p>
    <w:p w14:paraId="0D9A7C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登录济钢阳光购销平台，选择【资产处置及竞租】-》【网上报名】-》选择拟竞租资产，并点击【报名】。</w:t>
      </w:r>
    </w:p>
    <w:p w14:paraId="0F67DD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3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" w:eastAsia="仿宋_GB2312" w:cs="Times New Roman"/>
          <w:sz w:val="32"/>
          <w:szCs w:val="32"/>
        </w:rPr>
        <w:t>保证金的退回：未中标者于竞租后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七</w:t>
      </w:r>
      <w:r>
        <w:rPr>
          <w:rFonts w:hint="eastAsia" w:ascii="仿宋_GB2312" w:hAnsi="仿宋" w:eastAsia="仿宋_GB2312" w:cs="Times New Roman"/>
          <w:sz w:val="32"/>
          <w:szCs w:val="32"/>
        </w:rPr>
        <w:t>日内由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济钢集团山东建设工程有限公司</w:t>
      </w:r>
      <w:r>
        <w:rPr>
          <w:rFonts w:hint="eastAsia" w:ascii="仿宋_GB2312" w:hAnsi="仿宋" w:eastAsia="仿宋_GB2312" w:cs="Times New Roman"/>
          <w:sz w:val="32"/>
          <w:szCs w:val="32"/>
        </w:rPr>
        <w:t>原账户退回竞租保证金</w:t>
      </w:r>
      <w:r>
        <w:rPr>
          <w:rFonts w:hint="eastAsia" w:ascii="仿宋_GB2312" w:hAnsi="仿宋" w:eastAsia="仿宋_GB2312"/>
          <w:sz w:val="32"/>
          <w:szCs w:val="32"/>
        </w:rPr>
        <w:t>；中标者需在签订租赁合同后，</w:t>
      </w:r>
      <w:r>
        <w:rPr>
          <w:rFonts w:hint="eastAsia" w:ascii="仿宋_GB2312" w:hAnsi="仿宋" w:eastAsia="仿宋_GB2312" w:cs="Times New Roman"/>
          <w:sz w:val="32"/>
          <w:szCs w:val="32"/>
        </w:rPr>
        <w:t>由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济钢集团山东建设工程有限公司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将</w:t>
      </w:r>
      <w:r>
        <w:rPr>
          <w:rFonts w:hint="eastAsia" w:ascii="仿宋_GB2312" w:hAnsi="仿宋" w:eastAsia="仿宋_GB2312" w:cs="Times New Roman"/>
          <w:sz w:val="32"/>
          <w:szCs w:val="32"/>
        </w:rPr>
        <w:t>竞租保证金原账户退回。竞得人须在公示期（公示期为标的成交次日起3个工作日）满后7个工作日内到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济钢集团山东建设工程有限公司</w:t>
      </w:r>
      <w:r>
        <w:rPr>
          <w:rFonts w:hint="eastAsia" w:ascii="仿宋_GB2312" w:hAnsi="仿宋" w:eastAsia="仿宋_GB2312" w:cs="Times New Roman"/>
          <w:sz w:val="32"/>
          <w:szCs w:val="32"/>
        </w:rPr>
        <w:t>办理成交确认手续，逾期视为自动放弃，竞租保证金不予退回。</w:t>
      </w:r>
    </w:p>
    <w:p w14:paraId="3B03D4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五、竞价规则</w:t>
      </w:r>
    </w:p>
    <w:p w14:paraId="28EADD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1、本次竞价出租，竞租人初始报价不得低于竞租底价，否则视为无效报价。</w:t>
      </w:r>
    </w:p>
    <w:p w14:paraId="1BC0D2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2、竞租开始后，登录济钢阳光购销平台，选择【资产处置及竞租】-》【处置及竞租竞价】-》选择拟竞租资产-》【网上竞价】，填写拟报价单价，点击【保存】，确认提交价格。</w:t>
      </w:r>
    </w:p>
    <w:p w14:paraId="551020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3、在公告约定的竞租报价时间内，竞租人可以多次报价，以竞租底价为基础，每次加价不低于规定竞租阶梯价，以竞租阶梯价的整数倍递加。最后截止时间的最高报价且报价时间早为竞得者。</w:t>
      </w:r>
    </w:p>
    <w:p w14:paraId="740D50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5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六、其他约定事项</w:t>
      </w:r>
    </w:p>
    <w:p w14:paraId="6772B8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合同签约主体为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济钢集团山东建设工程有限公司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 w14:paraId="1AFF05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5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七、竞租联系人</w:t>
      </w:r>
    </w:p>
    <w:p w14:paraId="4B16DB4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业务联系人：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济钢集团山东建设工程有限公司袁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先生</w:t>
      </w:r>
      <w:r>
        <w:rPr>
          <w:rFonts w:hint="eastAsia" w:ascii="仿宋_GB2312" w:hAnsi="仿宋" w:eastAsia="仿宋_GB2312" w:cs="Times New Roman"/>
          <w:sz w:val="32"/>
          <w:szCs w:val="32"/>
        </w:rPr>
        <w:t>，联系电话：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13854114888。</w:t>
      </w:r>
    </w:p>
    <w:p w14:paraId="177F60F2">
      <w:pPr>
        <w:keepNext w:val="0"/>
        <w:keepLines w:val="0"/>
        <w:pageBreakBefore w:val="0"/>
        <w:widowControl w:val="0"/>
        <w:tabs>
          <w:tab w:val="left" w:pos="7700"/>
        </w:tabs>
        <w:kinsoku/>
        <w:overflowPunct/>
        <w:topLinePunct w:val="0"/>
        <w:autoSpaceDE/>
        <w:autoSpaceDN/>
        <w:bidi w:val="0"/>
        <w:spacing w:after="0" w:line="58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 w14:paraId="1E2759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after="0" w:line="580" w:lineRule="exact"/>
        <w:ind w:left="3840" w:right="480" w:hanging="3840" w:hangingChars="1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济钢集团山东建设工程有限公司</w:t>
      </w:r>
    </w:p>
    <w:p w14:paraId="5C5353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after="0" w:line="580" w:lineRule="exact"/>
        <w:ind w:right="480" w:firstLine="4480" w:firstLineChars="1400"/>
        <w:textAlignment w:val="auto"/>
      </w:pP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6CEA78D5"/>
    <w:p w14:paraId="70EF3F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ZTcxNzIxMTZkODc5MjgwMDUyNzI0ODBmMzU3YTMifQ=="/>
  </w:docVars>
  <w:rsids>
    <w:rsidRoot w:val="777913CB"/>
    <w:rsid w:val="01EB594A"/>
    <w:rsid w:val="067D411E"/>
    <w:rsid w:val="067F52D3"/>
    <w:rsid w:val="0D933E2D"/>
    <w:rsid w:val="0FA92979"/>
    <w:rsid w:val="1AE30A23"/>
    <w:rsid w:val="20C16910"/>
    <w:rsid w:val="245E07C6"/>
    <w:rsid w:val="25B91D7B"/>
    <w:rsid w:val="273D3956"/>
    <w:rsid w:val="284F6DA3"/>
    <w:rsid w:val="2863731C"/>
    <w:rsid w:val="2EDD678B"/>
    <w:rsid w:val="3CA43A13"/>
    <w:rsid w:val="40BF54B6"/>
    <w:rsid w:val="42A34FB4"/>
    <w:rsid w:val="449F4875"/>
    <w:rsid w:val="45D656EA"/>
    <w:rsid w:val="4E406E01"/>
    <w:rsid w:val="54B01780"/>
    <w:rsid w:val="5A4237C2"/>
    <w:rsid w:val="5A504131"/>
    <w:rsid w:val="5DF41277"/>
    <w:rsid w:val="64136BD4"/>
    <w:rsid w:val="6AF4374D"/>
    <w:rsid w:val="7779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sz w:val="20"/>
      <w:szCs w:val="20"/>
    </w:rPr>
  </w:style>
  <w:style w:type="paragraph" w:styleId="3">
    <w:name w:val="Body Text First Indent 2"/>
    <w:basedOn w:val="2"/>
    <w:qFormat/>
    <w:uiPriority w:val="0"/>
    <w:pPr>
      <w:widowControl w:val="0"/>
      <w:adjustRightInd/>
      <w:snapToGrid/>
      <w:spacing w:after="0" w:line="480" w:lineRule="auto"/>
      <w:ind w:left="0" w:leftChars="0" w:firstLine="420" w:firstLineChars="200"/>
      <w:jc w:val="both"/>
    </w:pPr>
    <w:rPr>
      <w:rFonts w:ascii="仿宋_GB2312" w:hAnsi="Calibri" w:eastAsia="仿宋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1314</Words>
  <Characters>1442</Characters>
  <Lines>0</Lines>
  <Paragraphs>0</Paragraphs>
  <TotalTime>0</TotalTime>
  <ScaleCrop>false</ScaleCrop>
  <LinksUpToDate>false</LinksUpToDate>
  <CharactersWithSpaces>1465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2024-09-11T00:54:00Z</dcterms:created>
  <dc:creator>Administrator</dc:creator>
  <cp:lastModifiedBy>Administrator</cp:lastModifiedBy>
  <dcterms:modified xsi:type="dcterms:W3CDTF">2024-12-04T07:11:05Z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81C8B57DB8FE4E368CA8BA5CF8A28281_11</vt:lpwstr>
  </property>
</Properties>
</file>